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10290B" w:rsidRPr="0010290B" w14:paraId="1E83045D" w14:textId="77777777" w:rsidTr="00A0357B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10290B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89FB852" w14:textId="5AEAE232" w:rsidR="007219E0" w:rsidRPr="0010290B" w:rsidRDefault="005F3214" w:rsidP="005E4EC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TERMO DE REFERÊNCIA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10290B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10290B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10290B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10290B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10290B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10290B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10290B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10290B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10290B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10290B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10290B" w:rsidRPr="0010290B" w14:paraId="7FA84C24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3C4C841" w14:textId="77777777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6F43314A" w:rsidR="007219E0" w:rsidRPr="0010290B" w:rsidRDefault="007219E0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2BE43FA" w:rsidR="007219E0" w:rsidRPr="0010290B" w:rsidRDefault="008C13CB" w:rsidP="00B90F6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7219E0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definição do objeto, incluídos sua natureza, os quantitativos, o prazo do contrato e, se for o caso, a possibilidade de sua prorrogação</w:t>
            </w:r>
            <w:r w:rsidR="007219E0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alínea “a” do inciso XXIII</w:t>
            </w:r>
            <w:r w:rsidR="007219E0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D23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art. 6º</w:t>
            </w:r>
            <w:r w:rsidR="007219E0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10290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10290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10290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10290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4BA69502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6F2026A" w14:textId="77777777" w:rsidR="00DF0D23" w:rsidRPr="0010290B" w:rsidRDefault="00DF0D23" w:rsidP="00DF0D23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   </w:t>
            </w:r>
          </w:p>
          <w:p w14:paraId="7235B0F0" w14:textId="77777777" w:rsidR="00DF0D23" w:rsidRPr="0010290B" w:rsidRDefault="00DF0D23" w:rsidP="00DF0D23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58E8F96D" w14:textId="7E9CFCAA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CB5AB8D" w14:textId="43E950C4" w:rsidR="00DF0D23" w:rsidRPr="0010290B" w:rsidRDefault="00DF0D23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Consta a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fundamentação da contratação, que consiste na referência aos estudos técnicos preliminares correspondentes ou, quando não for possível divulgar esses estudos, no extrato das partes que não contiverem informações sigilosas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(alínea “b”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0834212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AA480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594EC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BEF415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48B7D560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9457168" w14:textId="77777777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C9D4" w14:textId="455216E7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2179757" w14:textId="65A11A2A" w:rsidR="00DF0D23" w:rsidRPr="0010290B" w:rsidRDefault="00B90F62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Consta a descrição da solução como um todo, considerado todo o ciclo de vida do objeto (alínea “c”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E15CFD4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2CF15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F3503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1B2DE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7A0B038A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2FF0E37" w14:textId="77777777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20D8" w14:textId="77E2CE3B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DDFF6E0" w14:textId="1BCF0595" w:rsidR="00DF0D23" w:rsidRPr="0010290B" w:rsidRDefault="00B90F62" w:rsidP="00B90F6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Os requisitos da contratação foram atendidos (alínea “d” do inciso XXIII do art. 6º e incisos III e IX do </w:t>
            </w:r>
            <w:r w:rsidRPr="0010290B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do art. 18, ambos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40EEBAE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4593E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049A3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65A8D6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20D7FDE3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24BE733" w14:textId="77777777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BBE5" w14:textId="77777777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4728" w14:textId="24F14E18" w:rsidR="00DF0D23" w:rsidRPr="0010290B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6A0A039" w14:textId="6EB1BFE1" w:rsidR="00DF0D23" w:rsidRPr="0010290B" w:rsidRDefault="00DF0D23" w:rsidP="00B90F6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modelo de execução do objeto, que consiste na definição de como o contrato deverá produzir os resultados pretendidos desde o seu início até o seu encerramento (alínea “e”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B2F8A9E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5960F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A7BF0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3192C1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1B096144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DB2B48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4004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E7A7" w14:textId="38EDB4EA" w:rsidR="00DF0D23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17BA78A" w14:textId="740AE2FF" w:rsidR="00DF0D23" w:rsidRPr="0010290B" w:rsidRDefault="00B90F62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Consta modelo de gestão do contrato, que descreve como a execução do objeto será acompanhada e fiscalizada pelo órgão ou entidade (alínea “f” do inciso XXIII do art. 6º da Lei Federal nº 14.133/2021)</w:t>
            </w:r>
            <w:r w:rsidR="00027859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, na forma do art. 41 do Decreto Rio nº </w:t>
            </w:r>
            <w:r w:rsidR="000941E1" w:rsidRPr="0010290B">
              <w:rPr>
                <w:rFonts w:ascii="Times New Roman" w:hAnsi="Times New Roman" w:cs="Times New Roman"/>
                <w:sz w:val="24"/>
                <w:szCs w:val="24"/>
              </w:rPr>
              <w:t>51.629/2022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FD749F9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DC46D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563D0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F2F0B6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4FB68B2B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80C906D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33D6" w14:textId="356969CC" w:rsidR="00DF0D23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8D47FD8" w14:textId="5369CB74" w:rsidR="00DF0D23" w:rsidRPr="0010290B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critérios de medição e de pagamento (alínea “g”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3958E8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4BB82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A548D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3A7566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650F0CEF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4DCB6EE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E10C" w14:textId="6F15DD6E" w:rsidR="00DF0D23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7C7AA6" w14:textId="2278BC2C" w:rsidR="00DF0D23" w:rsidRPr="0010290B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Constam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forma e critérios de seleção do fornecedor (alínea “h”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7A24B8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F8EB3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21310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5222D5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70586C90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C6C8C9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08408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3139" w14:textId="5E11A414" w:rsidR="00DF0D23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182B2E" w14:textId="2D42063A" w:rsidR="00DF0D23" w:rsidRPr="0010290B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62" w:rsidRPr="0010290B">
              <w:rPr>
                <w:rFonts w:ascii="Times New Roman" w:hAnsi="Times New Roman" w:cs="Times New Roman"/>
                <w:sz w:val="24"/>
                <w:szCs w:val="24"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 (alínea “i”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33D4485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AA718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8F219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1C93A1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293B7215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084ADA7" w14:textId="77777777" w:rsidR="00084514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2A91" w14:textId="3D06C45F" w:rsidR="00DF0D23" w:rsidRPr="0010290B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312C0CA" w14:textId="12DFA3A8" w:rsidR="00DF0D23" w:rsidRPr="0010290B" w:rsidRDefault="00B90F62" w:rsidP="00D30CD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D30CD1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demonstração de adequação orçamentária </w:t>
            </w:r>
            <w:r w:rsidR="00DF0D23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(alínea “j” do inciso XXIII do art. 6º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7ABD21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67A38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BB161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50939B" w14:textId="77777777" w:rsidR="00DF0D23" w:rsidRPr="0010290B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57358C41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E8AADB7" w14:textId="77777777" w:rsidR="00CE281F" w:rsidRPr="0010290B" w:rsidRDefault="00CE281F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CE1E" w14:textId="135C147D" w:rsidR="00CE281F" w:rsidRPr="0010290B" w:rsidRDefault="00CE281F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32321B2" w14:textId="4B497427" w:rsidR="00CE281F" w:rsidRPr="0010290B" w:rsidRDefault="00CE281F" w:rsidP="00D30CD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Consta a definição do regime de prestação de serviços/fornecimento de bens</w:t>
            </w:r>
            <w:r w:rsidR="009147D6"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(imediato, diferido integral ou diferido parcelado)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, observados os potenciais de economia de escala (inciso VII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D0B0D6" w14:textId="77777777" w:rsidR="00CE281F" w:rsidRPr="0010290B" w:rsidRDefault="00CE281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CCF4B" w14:textId="77777777" w:rsidR="00CE281F" w:rsidRPr="0010290B" w:rsidRDefault="00CE281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94A03" w14:textId="77777777" w:rsidR="00CE281F" w:rsidRPr="0010290B" w:rsidRDefault="00CE281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A91FCB" w14:textId="77777777" w:rsidR="00CE281F" w:rsidRPr="0010290B" w:rsidRDefault="00CE281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0E3902E6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97EE4B6" w14:textId="77777777" w:rsidR="002F3F03" w:rsidRPr="0010290B" w:rsidRDefault="002F3F0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E3FE" w14:textId="59C74D08" w:rsidR="002F3F03" w:rsidRPr="0010290B" w:rsidRDefault="002F3F0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8906515" w14:textId="75C94DC1" w:rsidR="002F3F03" w:rsidRPr="0010290B" w:rsidRDefault="002F3F03" w:rsidP="0050282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Caso se trate de </w:t>
            </w:r>
            <w:r w:rsidR="0050282E" w:rsidRPr="0010290B">
              <w:rPr>
                <w:rFonts w:ascii="Times New Roman" w:hAnsi="Times New Roman" w:cs="Times New Roman"/>
                <w:sz w:val="24"/>
                <w:szCs w:val="24"/>
              </w:rPr>
              <w:t>aquisição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de bens, o termo de referência contempla os elementos constantes dos incisos do § 1º do art. 40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682C05B" w14:textId="77777777" w:rsidR="002F3F03" w:rsidRPr="0010290B" w:rsidRDefault="002F3F0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A21D9" w14:textId="77777777" w:rsidR="002F3F03" w:rsidRPr="0010290B" w:rsidRDefault="002F3F0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163EA" w14:textId="77777777" w:rsidR="002F3F03" w:rsidRPr="0010290B" w:rsidRDefault="002F3F0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B2D8EE" w14:textId="77777777" w:rsidR="002F3F03" w:rsidRPr="0010290B" w:rsidRDefault="002F3F0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2228C54C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E2C7476" w14:textId="77777777" w:rsidR="00A455DB" w:rsidRPr="0010290B" w:rsidRDefault="00A455DB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5BC43" w14:textId="42001162" w:rsidR="006A6056" w:rsidRPr="0010290B" w:rsidRDefault="00A455DB" w:rsidP="003E0DE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C544A1B" w14:textId="1D7507C0" w:rsidR="006A6056" w:rsidRPr="0010290B" w:rsidRDefault="00A455DB" w:rsidP="003E0DE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O termo de referência contém os elementos </w:t>
            </w:r>
            <w:r w:rsidR="008D718E" w:rsidRPr="0010290B">
              <w:rPr>
                <w:rFonts w:ascii="Times New Roman" w:hAnsi="Times New Roman" w:cs="Times New Roman"/>
                <w:sz w:val="24"/>
                <w:szCs w:val="24"/>
              </w:rPr>
              <w:t>necessários à gestão do contrat</w:t>
            </w:r>
            <w:r w:rsidR="000941E1" w:rsidRPr="0010290B">
              <w:rPr>
                <w:rFonts w:ascii="Times New Roman" w:hAnsi="Times New Roman" w:cs="Times New Roman"/>
                <w:sz w:val="24"/>
                <w:szCs w:val="24"/>
              </w:rPr>
              <w:t>o, na forma do art. 41</w:t>
            </w: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 xml:space="preserve"> do Decreto Rio nº </w:t>
            </w:r>
            <w:r w:rsidR="000941E1" w:rsidRPr="0010290B">
              <w:rPr>
                <w:rFonts w:ascii="Times New Roman" w:hAnsi="Times New Roman" w:cs="Times New Roman"/>
                <w:sz w:val="24"/>
                <w:szCs w:val="24"/>
              </w:rPr>
              <w:t>51.629/2022?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ABB9A3" w14:textId="77777777" w:rsidR="00A455DB" w:rsidRPr="0010290B" w:rsidRDefault="00A455DB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D7529" w14:textId="77777777" w:rsidR="00A455DB" w:rsidRPr="0010290B" w:rsidRDefault="00A455DB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482A7" w14:textId="77777777" w:rsidR="00A455DB" w:rsidRPr="0010290B" w:rsidRDefault="00A455DB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953BED" w14:textId="77777777" w:rsidR="00A455DB" w:rsidRPr="0010290B" w:rsidRDefault="00A455DB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0B" w:rsidRPr="0010290B" w14:paraId="7AC6B574" w14:textId="77777777" w:rsidTr="00A0357B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ABC8B15" w14:textId="77777777" w:rsidR="003E0DE5" w:rsidRPr="0010290B" w:rsidRDefault="003E0DE5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31AB" w14:textId="3220996B" w:rsidR="003E0DE5" w:rsidRPr="0010290B" w:rsidRDefault="003E0DE5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1514B02" w14:textId="3C9738C8" w:rsidR="003E0DE5" w:rsidRPr="0010290B" w:rsidRDefault="003E0DE5" w:rsidP="003E0DE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Caso se trate de obras ou serviço de engenharia foram asseguradas a viabilidade técnica, o adequado tratamento do impacto ambiental do empreendimento, que possibilite a avaliação do custo, a definição dos métodos e do prazo de execução, com a apresentação dos elementos indicados nas letras “a”/”f” do inciso XXV do art. 6º,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6B7560D" w14:textId="77777777" w:rsidR="003E0DE5" w:rsidRPr="0010290B" w:rsidRDefault="003E0DE5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D381E" w14:textId="77777777" w:rsidR="003E0DE5" w:rsidRPr="0010290B" w:rsidRDefault="003E0DE5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EB96D" w14:textId="77777777" w:rsidR="003E0DE5" w:rsidRPr="0010290B" w:rsidRDefault="003E0DE5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EC8568" w14:textId="77777777" w:rsidR="003E0DE5" w:rsidRPr="0010290B" w:rsidRDefault="003E0DE5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10290B" w:rsidRPr="0010290B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10290B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10290B" w:rsidRPr="0010290B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10290B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0290B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10290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Pr="0010290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Pr="0010290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97B12" w14:textId="77777777" w:rsidR="005C363A" w:rsidRPr="0010290B" w:rsidRDefault="005C363A" w:rsidP="005C363A">
      <w:pPr>
        <w:spacing w:after="120"/>
        <w:ind w:left="425" w:right="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0B">
        <w:rPr>
          <w:rFonts w:ascii="Times New Roman" w:hAnsi="Times New Roman" w:cs="Times New Roman"/>
          <w:sz w:val="24"/>
          <w:szCs w:val="24"/>
        </w:rPr>
        <w:t>Atesto que o Estudo Técnico Preliminar, de fls. ____, cumpre os requisitos constantes da Lei Federal nº 14.133/2021, na forma deste Anexo ao RIPM.</w:t>
      </w:r>
    </w:p>
    <w:p w14:paraId="57C3207A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1D856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54A49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FB3D9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90B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3CB38A3D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CB0A1F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0176F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FE4CD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96065" w14:textId="77777777" w:rsidR="005C363A" w:rsidRPr="0010290B" w:rsidRDefault="005C363A" w:rsidP="005C3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90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E93C6F4" w14:textId="77777777" w:rsidR="005C363A" w:rsidRPr="0010290B" w:rsidRDefault="005C363A" w:rsidP="005C363A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26444453" w14:textId="77777777" w:rsidR="005C363A" w:rsidRPr="0010290B" w:rsidRDefault="005C363A" w:rsidP="005C363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0290B">
        <w:rPr>
          <w:rFonts w:ascii="Times New Roman" w:hAnsi="Times New Roman" w:cs="Times New Roman"/>
          <w:sz w:val="24"/>
          <w:szCs w:val="24"/>
        </w:rPr>
        <w:t>AGENTE PÚBLICO</w:t>
      </w:r>
    </w:p>
    <w:p w14:paraId="23FDFB25" w14:textId="77777777" w:rsidR="005C363A" w:rsidRPr="0010290B" w:rsidRDefault="005C363A" w:rsidP="005C363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0290B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10290B" w:rsidRDefault="00DA56E8" w:rsidP="005C36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56E8" w:rsidRPr="0010290B" w:rsidSect="005E4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6322" w14:textId="77777777" w:rsidR="00833FB9" w:rsidRDefault="00833FB9">
      <w:r>
        <w:separator/>
      </w:r>
    </w:p>
  </w:endnote>
  <w:endnote w:type="continuationSeparator" w:id="0">
    <w:p w14:paraId="73B0E30D" w14:textId="77777777" w:rsidR="00833FB9" w:rsidRDefault="0083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CE071" w14:textId="77777777" w:rsidR="0010290B" w:rsidRDefault="001029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1065" w14:textId="77777777" w:rsidR="0010290B" w:rsidRDefault="001029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65565" w14:textId="77777777" w:rsidR="0010290B" w:rsidRDefault="001029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D7E5F" w14:textId="77777777" w:rsidR="00833FB9" w:rsidRDefault="00833FB9">
      <w:r>
        <w:separator/>
      </w:r>
    </w:p>
  </w:footnote>
  <w:footnote w:type="continuationSeparator" w:id="0">
    <w:p w14:paraId="4DD35FBA" w14:textId="77777777" w:rsidR="00833FB9" w:rsidRDefault="0083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FBA3" w14:textId="77777777" w:rsidR="0010290B" w:rsidRDefault="001029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0BCE" w14:textId="1E6CA77E" w:rsidR="005C363A" w:rsidRDefault="005C363A" w:rsidP="005C363A">
    <w:pPr>
      <w:ind w:right="65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ANEXO AO RIPM –</w:t>
    </w:r>
  </w:p>
  <w:p w14:paraId="093C8275" w14:textId="77777777" w:rsidR="006A6056" w:rsidRPr="0010290B" w:rsidRDefault="005C363A" w:rsidP="005C363A">
    <w:pPr>
      <w:ind w:right="-77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TERMO DE ATESTAÇÃO DE </w:t>
    </w:r>
    <w:r w:rsidRPr="0010290B">
      <w:rPr>
        <w:rFonts w:ascii="Times New Roman" w:hAnsi="Times New Roman" w:cs="Times New Roman"/>
        <w:b/>
        <w:sz w:val="24"/>
        <w:szCs w:val="24"/>
      </w:rPr>
      <w:t xml:space="preserve">CONFORMIDADE </w:t>
    </w:r>
  </w:p>
  <w:p w14:paraId="58EBE48E" w14:textId="7736B7F7" w:rsidR="005C363A" w:rsidRPr="0010290B" w:rsidRDefault="005C363A" w:rsidP="005C363A">
    <w:pPr>
      <w:ind w:right="-77"/>
      <w:jc w:val="center"/>
      <w:rPr>
        <w:rFonts w:ascii="Times New Roman" w:hAnsi="Times New Roman" w:cs="Times New Roman"/>
        <w:b/>
        <w:sz w:val="24"/>
        <w:szCs w:val="24"/>
      </w:rPr>
    </w:pPr>
    <w:r w:rsidRPr="0010290B">
      <w:rPr>
        <w:rFonts w:ascii="Times New Roman" w:hAnsi="Times New Roman" w:cs="Times New Roman"/>
        <w:b/>
        <w:sz w:val="24"/>
        <w:szCs w:val="24"/>
      </w:rPr>
      <w:t>DO TERMO DE REFERÊNCIA</w:t>
    </w:r>
    <w:r w:rsidR="006A6056" w:rsidRPr="0010290B">
      <w:rPr>
        <w:rFonts w:ascii="Times New Roman" w:hAnsi="Times New Roman" w:cs="Times New Roman"/>
        <w:b/>
        <w:sz w:val="24"/>
        <w:szCs w:val="24"/>
      </w:rPr>
      <w:t>/PROJETO BÁSICO</w:t>
    </w:r>
  </w:p>
  <w:p w14:paraId="1C74D24E" w14:textId="77777777" w:rsidR="005C363A" w:rsidRDefault="005C363A" w:rsidP="005C363A">
    <w:pPr>
      <w:ind w:right="-77"/>
      <w:jc w:val="center"/>
      <w:rPr>
        <w:rFonts w:ascii="Times New Roman" w:hAnsi="Times New Roman" w:cs="Times New Roman"/>
        <w:b/>
        <w:sz w:val="24"/>
        <w:szCs w:val="24"/>
      </w:rPr>
    </w:pPr>
  </w:p>
  <w:p w14:paraId="032649D2" w14:textId="6CAC0C33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2BC3"/>
    <w:rsid w:val="00027859"/>
    <w:rsid w:val="00084514"/>
    <w:rsid w:val="000941E1"/>
    <w:rsid w:val="000C0872"/>
    <w:rsid w:val="0010290B"/>
    <w:rsid w:val="00115AD2"/>
    <w:rsid w:val="00127D4F"/>
    <w:rsid w:val="00132CEF"/>
    <w:rsid w:val="00185FFF"/>
    <w:rsid w:val="001D3E52"/>
    <w:rsid w:val="001F4F95"/>
    <w:rsid w:val="00200B30"/>
    <w:rsid w:val="00215C79"/>
    <w:rsid w:val="0027703F"/>
    <w:rsid w:val="00284F54"/>
    <w:rsid w:val="002A1239"/>
    <w:rsid w:val="002F1752"/>
    <w:rsid w:val="002F3F03"/>
    <w:rsid w:val="00322813"/>
    <w:rsid w:val="0036598A"/>
    <w:rsid w:val="0038198C"/>
    <w:rsid w:val="0038591B"/>
    <w:rsid w:val="003E0DE5"/>
    <w:rsid w:val="00413E9F"/>
    <w:rsid w:val="00444859"/>
    <w:rsid w:val="00462C21"/>
    <w:rsid w:val="00483427"/>
    <w:rsid w:val="00496905"/>
    <w:rsid w:val="004A1CBD"/>
    <w:rsid w:val="004F6F69"/>
    <w:rsid w:val="0050282E"/>
    <w:rsid w:val="00510A48"/>
    <w:rsid w:val="00527B10"/>
    <w:rsid w:val="00550185"/>
    <w:rsid w:val="00566389"/>
    <w:rsid w:val="005C363A"/>
    <w:rsid w:val="005C7B91"/>
    <w:rsid w:val="005D612E"/>
    <w:rsid w:val="005E4ECC"/>
    <w:rsid w:val="005F3214"/>
    <w:rsid w:val="005F6723"/>
    <w:rsid w:val="00620D81"/>
    <w:rsid w:val="00632C5E"/>
    <w:rsid w:val="00647472"/>
    <w:rsid w:val="006637F8"/>
    <w:rsid w:val="0067034F"/>
    <w:rsid w:val="0068457A"/>
    <w:rsid w:val="006A6056"/>
    <w:rsid w:val="006C24CC"/>
    <w:rsid w:val="007219E0"/>
    <w:rsid w:val="00737661"/>
    <w:rsid w:val="00737A9D"/>
    <w:rsid w:val="007D4F93"/>
    <w:rsid w:val="007F509A"/>
    <w:rsid w:val="00824B38"/>
    <w:rsid w:val="00833FB9"/>
    <w:rsid w:val="008C13CB"/>
    <w:rsid w:val="008D718E"/>
    <w:rsid w:val="009147D6"/>
    <w:rsid w:val="009626DA"/>
    <w:rsid w:val="009B1F63"/>
    <w:rsid w:val="009C5F2E"/>
    <w:rsid w:val="00A02995"/>
    <w:rsid w:val="00A0357B"/>
    <w:rsid w:val="00A33531"/>
    <w:rsid w:val="00A455DB"/>
    <w:rsid w:val="00A657A3"/>
    <w:rsid w:val="00A851EF"/>
    <w:rsid w:val="00A86F54"/>
    <w:rsid w:val="00A93BAF"/>
    <w:rsid w:val="00AA5AE3"/>
    <w:rsid w:val="00AE38C8"/>
    <w:rsid w:val="00B27359"/>
    <w:rsid w:val="00B6225C"/>
    <w:rsid w:val="00B90F62"/>
    <w:rsid w:val="00C165A6"/>
    <w:rsid w:val="00C20E77"/>
    <w:rsid w:val="00C65DF0"/>
    <w:rsid w:val="00CA3534"/>
    <w:rsid w:val="00CE281F"/>
    <w:rsid w:val="00CE4429"/>
    <w:rsid w:val="00CF03A4"/>
    <w:rsid w:val="00CF5997"/>
    <w:rsid w:val="00D10D2A"/>
    <w:rsid w:val="00D30CD1"/>
    <w:rsid w:val="00D37BC2"/>
    <w:rsid w:val="00D71156"/>
    <w:rsid w:val="00D76832"/>
    <w:rsid w:val="00DA56E8"/>
    <w:rsid w:val="00DD0757"/>
    <w:rsid w:val="00DF0D23"/>
    <w:rsid w:val="00E2218B"/>
    <w:rsid w:val="00E46482"/>
    <w:rsid w:val="00EC7115"/>
    <w:rsid w:val="00EF06DE"/>
    <w:rsid w:val="00F13326"/>
    <w:rsid w:val="00F41ABD"/>
    <w:rsid w:val="00F47B98"/>
    <w:rsid w:val="00F55E20"/>
    <w:rsid w:val="00FB22B8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559532DD-A724-4494-B874-A0A6B9C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D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D2A"/>
    <w:rPr>
      <w:rFonts w:ascii="Segoe UI" w:eastAsia="Tahom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A693-0552-4710-98AC-3F819AF7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2024-11-13T18:49:00Z</dcterms:created>
  <dcterms:modified xsi:type="dcterms:W3CDTF">2024-11-13T18:49:00Z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